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2757DC" w:rsidRDefault="002757DC" w:rsidP="00F622BF">
      <w:pPr>
        <w:rPr>
          <w:rFonts w:ascii="Arial" w:hAnsi="Arial"/>
          <w:sz w:val="8"/>
        </w:rPr>
      </w:pPr>
    </w:p>
    <w:p w:rsidR="002757DC" w:rsidRDefault="002757DC" w:rsidP="00F622BF">
      <w:pPr>
        <w:rPr>
          <w:rFonts w:ascii="Arial" w:hAnsi="Arial"/>
          <w:sz w:val="8"/>
        </w:rPr>
      </w:pPr>
    </w:p>
    <w:p w:rsidR="002757DC" w:rsidRDefault="002757DC" w:rsidP="00F622BF">
      <w:pPr>
        <w:rPr>
          <w:rFonts w:ascii="Arial" w:hAnsi="Arial"/>
          <w:sz w:val="8"/>
        </w:rPr>
      </w:pPr>
    </w:p>
    <w:p w:rsidR="002757DC" w:rsidRDefault="002757DC" w:rsidP="00F622BF">
      <w:pPr>
        <w:rPr>
          <w:rFonts w:ascii="Arial" w:hAnsi="Arial"/>
          <w:sz w:val="8"/>
        </w:rPr>
      </w:pPr>
    </w:p>
    <w:p w:rsidR="002757DC" w:rsidRDefault="002757DC"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2757DC">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w:t>
            </w:r>
            <w:r w:rsidR="00D0110F">
              <w:rPr>
                <w:rFonts w:ascii="Stencil" w:hAnsi="Stencil"/>
                <w:sz w:val="44"/>
                <w:szCs w:val="44"/>
              </w:rPr>
              <w:t>9</w:t>
            </w:r>
            <w:r w:rsidR="002757DC">
              <w:rPr>
                <w:rFonts w:ascii="Stencil" w:hAnsi="Stencil"/>
                <w:sz w:val="44"/>
                <w:szCs w:val="44"/>
              </w:rPr>
              <w:t>6</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2757DC" w:rsidP="00810998">
            <w:pPr>
              <w:pStyle w:val="Epgrafe"/>
              <w:jc w:val="center"/>
              <w:rPr>
                <w:b/>
                <w:sz w:val="18"/>
              </w:rPr>
            </w:pPr>
            <w:r>
              <w:rPr>
                <w:b/>
                <w:sz w:val="18"/>
              </w:rPr>
              <w:t>36869</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725448" w:rsidP="00810998">
            <w:pPr>
              <w:jc w:val="right"/>
              <w:rPr>
                <w:rFonts w:ascii="Arial" w:hAnsi="Arial"/>
              </w:rPr>
            </w:pPr>
            <w:r>
              <w:rPr>
                <w:rFonts w:ascii="Arial" w:hAnsi="Arial"/>
                <w:sz w:val="22"/>
              </w:rPr>
              <w:t>22</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2757DC" w:rsidP="00810998">
            <w:pPr>
              <w:jc w:val="center"/>
              <w:rPr>
                <w:rFonts w:ascii="Arial" w:hAnsi="Arial"/>
                <w:b/>
                <w:sz w:val="18"/>
                <w:szCs w:val="18"/>
              </w:rPr>
            </w:pPr>
            <w:r>
              <w:rPr>
                <w:rFonts w:ascii="Arial" w:hAnsi="Arial"/>
                <w:b/>
                <w:sz w:val="18"/>
                <w:szCs w:val="18"/>
              </w:rPr>
              <w:t>S.S.PUBLICOS</w:t>
            </w:r>
          </w:p>
          <w:p w:rsidR="00F622BF" w:rsidRPr="00680209" w:rsidRDefault="00D036E1" w:rsidP="002757DC">
            <w:pPr>
              <w:jc w:val="center"/>
              <w:rPr>
                <w:rFonts w:ascii="Arial" w:hAnsi="Arial"/>
                <w:sz w:val="20"/>
                <w:szCs w:val="20"/>
              </w:rPr>
            </w:pPr>
            <w:r>
              <w:rPr>
                <w:rFonts w:ascii="Arial" w:hAnsi="Arial"/>
                <w:sz w:val="18"/>
                <w:szCs w:val="18"/>
              </w:rPr>
              <w:t xml:space="preserve">Adquisición de </w:t>
            </w:r>
            <w:r w:rsidR="002757DC">
              <w:rPr>
                <w:rFonts w:ascii="Arial" w:hAnsi="Arial"/>
                <w:sz w:val="18"/>
                <w:szCs w:val="18"/>
              </w:rPr>
              <w:t>contenedores plásticos</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D036E1" w:rsidRPr="00541DA8" w:rsidTr="00810998">
        <w:trPr>
          <w:cantSplit/>
          <w:trHeight w:val="323"/>
        </w:trPr>
        <w:tc>
          <w:tcPr>
            <w:tcW w:w="567" w:type="dxa"/>
            <w:tcBorders>
              <w:top w:val="dotted" w:sz="4" w:space="0" w:color="auto"/>
              <w:left w:val="single" w:sz="8" w:space="0" w:color="auto"/>
              <w:bottom w:val="nil"/>
            </w:tcBorders>
            <w:vAlign w:val="center"/>
          </w:tcPr>
          <w:p w:rsidR="00D036E1" w:rsidRPr="00050EF6" w:rsidRDefault="00D036E1"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D036E1" w:rsidRPr="002137E7" w:rsidRDefault="002757DC" w:rsidP="00810998">
            <w:pPr>
              <w:jc w:val="center"/>
              <w:rPr>
                <w:rFonts w:ascii="Arial" w:hAnsi="Arial"/>
                <w:b/>
                <w:sz w:val="20"/>
                <w:szCs w:val="20"/>
              </w:rPr>
            </w:pPr>
            <w:r>
              <w:rPr>
                <w:rFonts w:ascii="Arial" w:hAnsi="Arial"/>
                <w:b/>
                <w:sz w:val="20"/>
                <w:szCs w:val="20"/>
              </w:rPr>
              <w:t>11</w:t>
            </w:r>
          </w:p>
        </w:tc>
        <w:tc>
          <w:tcPr>
            <w:tcW w:w="5954" w:type="dxa"/>
            <w:tcBorders>
              <w:top w:val="dotted" w:sz="4" w:space="0" w:color="auto"/>
              <w:bottom w:val="nil"/>
            </w:tcBorders>
            <w:vAlign w:val="center"/>
          </w:tcPr>
          <w:p w:rsidR="00D036E1" w:rsidRPr="00D036E1" w:rsidRDefault="002757DC" w:rsidP="00810998">
            <w:pPr>
              <w:jc w:val="both"/>
              <w:rPr>
                <w:rFonts w:ascii="Arial" w:hAnsi="Arial"/>
              </w:rPr>
            </w:pPr>
            <w:r>
              <w:rPr>
                <w:rFonts w:ascii="Arial" w:hAnsi="Arial"/>
                <w:sz w:val="20"/>
                <w:szCs w:val="20"/>
              </w:rPr>
              <w:t>Contenedor plástico de 1.100 litros con tapa y ruedas color verde</w:t>
            </w:r>
          </w:p>
        </w:tc>
        <w:tc>
          <w:tcPr>
            <w:tcW w:w="1039" w:type="dxa"/>
            <w:tcBorders>
              <w:top w:val="dotted" w:sz="4" w:space="0" w:color="auto"/>
              <w:bottom w:val="nil"/>
            </w:tcBorders>
            <w:vAlign w:val="center"/>
          </w:tcPr>
          <w:p w:rsidR="00D036E1" w:rsidRPr="00541DA8" w:rsidRDefault="00D036E1" w:rsidP="00810998">
            <w:pPr>
              <w:jc w:val="both"/>
              <w:rPr>
                <w:rFonts w:ascii="Arial" w:hAnsi="Arial"/>
              </w:rPr>
            </w:pPr>
          </w:p>
        </w:tc>
        <w:tc>
          <w:tcPr>
            <w:tcW w:w="960" w:type="dxa"/>
            <w:tcBorders>
              <w:top w:val="dotted" w:sz="4" w:space="0" w:color="auto"/>
              <w:bottom w:val="nil"/>
              <w:right w:val="nil"/>
            </w:tcBorders>
            <w:vAlign w:val="center"/>
          </w:tcPr>
          <w:p w:rsidR="00D036E1" w:rsidRPr="00541DA8" w:rsidRDefault="00D036E1"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D036E1" w:rsidRPr="00541DA8" w:rsidRDefault="00D036E1" w:rsidP="00810998">
            <w:pPr>
              <w:jc w:val="both"/>
              <w:rPr>
                <w:rFonts w:ascii="Arial" w:hAnsi="Arial"/>
              </w:rPr>
            </w:pPr>
          </w:p>
        </w:tc>
      </w:tr>
      <w:tr w:rsidR="00D036E1" w:rsidRPr="00541DA8" w:rsidTr="00810998">
        <w:trPr>
          <w:cantSplit/>
          <w:trHeight w:val="323"/>
        </w:trPr>
        <w:tc>
          <w:tcPr>
            <w:tcW w:w="567" w:type="dxa"/>
            <w:tcBorders>
              <w:top w:val="dotted" w:sz="4" w:space="0" w:color="auto"/>
              <w:left w:val="single" w:sz="8" w:space="0" w:color="auto"/>
              <w:bottom w:val="nil"/>
            </w:tcBorders>
            <w:vAlign w:val="center"/>
          </w:tcPr>
          <w:p w:rsidR="00D036E1" w:rsidRPr="00050EF6" w:rsidRDefault="00D036E1" w:rsidP="00810998">
            <w:pPr>
              <w:jc w:val="center"/>
              <w:rPr>
                <w:rFonts w:ascii="Arial" w:hAnsi="Arial"/>
                <w:sz w:val="18"/>
                <w:szCs w:val="18"/>
                <w:lang w:val="es-MX"/>
              </w:rPr>
            </w:pPr>
          </w:p>
        </w:tc>
        <w:tc>
          <w:tcPr>
            <w:tcW w:w="709" w:type="dxa"/>
            <w:tcBorders>
              <w:top w:val="dotted" w:sz="4" w:space="0" w:color="auto"/>
              <w:bottom w:val="nil"/>
            </w:tcBorders>
            <w:vAlign w:val="center"/>
          </w:tcPr>
          <w:p w:rsidR="00D036E1" w:rsidRDefault="00D036E1" w:rsidP="00810998">
            <w:pPr>
              <w:jc w:val="center"/>
              <w:rPr>
                <w:rFonts w:ascii="Arial" w:hAnsi="Arial"/>
                <w:b/>
              </w:rPr>
            </w:pPr>
          </w:p>
        </w:tc>
        <w:tc>
          <w:tcPr>
            <w:tcW w:w="5954" w:type="dxa"/>
            <w:tcBorders>
              <w:top w:val="dotted" w:sz="4" w:space="0" w:color="auto"/>
              <w:bottom w:val="nil"/>
            </w:tcBorders>
            <w:vAlign w:val="center"/>
          </w:tcPr>
          <w:p w:rsidR="00D036E1" w:rsidRPr="00D036E1" w:rsidRDefault="00D036E1" w:rsidP="00810998">
            <w:pPr>
              <w:jc w:val="both"/>
              <w:rPr>
                <w:rFonts w:ascii="Arial" w:hAnsi="Arial"/>
                <w:sz w:val="20"/>
                <w:szCs w:val="20"/>
              </w:rPr>
            </w:pPr>
          </w:p>
        </w:tc>
        <w:tc>
          <w:tcPr>
            <w:tcW w:w="1039" w:type="dxa"/>
            <w:tcBorders>
              <w:top w:val="dotted" w:sz="4" w:space="0" w:color="auto"/>
              <w:bottom w:val="nil"/>
            </w:tcBorders>
            <w:vAlign w:val="center"/>
          </w:tcPr>
          <w:p w:rsidR="00D036E1" w:rsidRPr="00541DA8" w:rsidRDefault="00D036E1" w:rsidP="00810998">
            <w:pPr>
              <w:jc w:val="both"/>
              <w:rPr>
                <w:rFonts w:ascii="Arial" w:hAnsi="Arial"/>
              </w:rPr>
            </w:pPr>
          </w:p>
        </w:tc>
        <w:tc>
          <w:tcPr>
            <w:tcW w:w="960" w:type="dxa"/>
            <w:tcBorders>
              <w:top w:val="dotted" w:sz="4" w:space="0" w:color="auto"/>
              <w:bottom w:val="nil"/>
              <w:right w:val="nil"/>
            </w:tcBorders>
            <w:vAlign w:val="center"/>
          </w:tcPr>
          <w:p w:rsidR="00D036E1" w:rsidRPr="00541DA8" w:rsidRDefault="00D036E1"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D036E1" w:rsidRPr="00541DA8" w:rsidRDefault="00D036E1"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2137E7">
            <w:pPr>
              <w:jc w:val="center"/>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BA2595" w:rsidRDefault="002137E7" w:rsidP="004D7C3E">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BA2595" w:rsidRDefault="002137E7" w:rsidP="004D7C3E">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Documento de garantía de oferta certificado</w:t>
            </w:r>
          </w:p>
          <w:p w:rsidR="002137E7" w:rsidRPr="00587D4D" w:rsidRDefault="002137E7" w:rsidP="004D7C3E">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EA55D6" w:rsidTr="00810998">
        <w:trPr>
          <w:cantSplit/>
        </w:trPr>
        <w:tc>
          <w:tcPr>
            <w:tcW w:w="567" w:type="dxa"/>
            <w:tcBorders>
              <w:top w:val="dotted" w:sz="4" w:space="0" w:color="auto"/>
              <w:left w:val="single" w:sz="8" w:space="0" w:color="auto"/>
              <w:bottom w:val="nil"/>
            </w:tcBorders>
            <w:vAlign w:val="center"/>
          </w:tcPr>
          <w:p w:rsidR="002137E7" w:rsidRPr="00904EDC" w:rsidRDefault="002137E7" w:rsidP="00810998">
            <w:pPr>
              <w:jc w:val="center"/>
              <w:rPr>
                <w:rFonts w:ascii="Arial" w:hAnsi="Arial"/>
                <w:sz w:val="20"/>
                <w:szCs w:val="20"/>
              </w:rPr>
            </w:pPr>
          </w:p>
        </w:tc>
        <w:tc>
          <w:tcPr>
            <w:tcW w:w="709" w:type="dxa"/>
            <w:tcBorders>
              <w:top w:val="dotted" w:sz="4" w:space="0" w:color="auto"/>
              <w:bottom w:val="nil"/>
            </w:tcBorders>
            <w:vAlign w:val="center"/>
          </w:tcPr>
          <w:p w:rsidR="002137E7" w:rsidRPr="00EA55D6" w:rsidRDefault="002137E7" w:rsidP="00810998">
            <w:pPr>
              <w:jc w:val="center"/>
              <w:rPr>
                <w:rFonts w:ascii="Arial" w:hAnsi="Arial"/>
                <w:b/>
              </w:rPr>
            </w:pPr>
          </w:p>
        </w:tc>
        <w:tc>
          <w:tcPr>
            <w:tcW w:w="5954" w:type="dxa"/>
            <w:tcBorders>
              <w:top w:val="dotted" w:sz="4" w:space="0" w:color="auto"/>
              <w:bottom w:val="nil"/>
            </w:tcBorders>
            <w:vAlign w:val="center"/>
          </w:tcPr>
          <w:p w:rsidR="002137E7" w:rsidRPr="00354E00" w:rsidRDefault="002137E7" w:rsidP="00354E00">
            <w:pPr>
              <w:jc w:val="center"/>
              <w:rPr>
                <w:rFonts w:ascii="Arial" w:hAnsi="Arial"/>
                <w:b/>
                <w:sz w:val="20"/>
                <w:szCs w:val="20"/>
              </w:rPr>
            </w:pPr>
          </w:p>
        </w:tc>
        <w:tc>
          <w:tcPr>
            <w:tcW w:w="1039" w:type="dxa"/>
            <w:tcBorders>
              <w:top w:val="dotted" w:sz="4" w:space="0" w:color="auto"/>
              <w:bottom w:val="nil"/>
            </w:tcBorders>
            <w:vAlign w:val="center"/>
          </w:tcPr>
          <w:p w:rsidR="002137E7" w:rsidRPr="00EA55D6" w:rsidRDefault="002137E7" w:rsidP="00810998">
            <w:pPr>
              <w:jc w:val="center"/>
              <w:rPr>
                <w:rFonts w:ascii="Arial" w:hAnsi="Arial"/>
              </w:rPr>
            </w:pPr>
          </w:p>
        </w:tc>
        <w:tc>
          <w:tcPr>
            <w:tcW w:w="960" w:type="dxa"/>
            <w:tcBorders>
              <w:top w:val="dotted" w:sz="4" w:space="0" w:color="auto"/>
              <w:bottom w:val="nil"/>
              <w:right w:val="nil"/>
            </w:tcBorders>
            <w:vAlign w:val="center"/>
          </w:tcPr>
          <w:p w:rsidR="002137E7" w:rsidRPr="00EA55D6"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EA55D6" w:rsidRDefault="002137E7" w:rsidP="00810998">
            <w:pPr>
              <w:jc w:val="both"/>
              <w:rPr>
                <w:rFonts w:ascii="Arial" w:hAnsi="Arial"/>
              </w:rPr>
            </w:pPr>
          </w:p>
        </w:tc>
      </w:tr>
      <w:tr w:rsidR="002137E7"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2137E7" w:rsidRPr="00E10040" w:rsidRDefault="002137E7"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2137E7" w:rsidRDefault="002137E7"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AA6867" w:rsidP="00D0110F">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Miércoles 27</w:t>
            </w:r>
            <w:r w:rsidR="00F622BF">
              <w:rPr>
                <w:rFonts w:ascii="Courier New" w:hAnsi="Courier New" w:cs="Courier New"/>
                <w:b w:val="0"/>
                <w:color w:val="FFFFFF"/>
                <w:sz w:val="28"/>
                <w:szCs w:val="28"/>
              </w:rPr>
              <w:t xml:space="preserve"> de octubre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8B7222" w:rsidP="002757DC">
            <w:pPr>
              <w:jc w:val="center"/>
              <w:rPr>
                <w:rFonts w:ascii="Script MT Bold" w:hAnsi="Script MT Bold"/>
                <w:b/>
                <w:color w:val="FFFFFF"/>
                <w:sz w:val="32"/>
                <w:szCs w:val="32"/>
              </w:rPr>
            </w:pPr>
            <w:r>
              <w:rPr>
                <w:rFonts w:ascii="Script MT Bold" w:hAnsi="Script MT Bold"/>
                <w:b/>
                <w:color w:val="FFFFFF"/>
                <w:sz w:val="32"/>
                <w:szCs w:val="32"/>
              </w:rPr>
              <w:t>17:</w:t>
            </w:r>
            <w:r w:rsidR="002757DC">
              <w:rPr>
                <w:rFonts w:ascii="Script MT Bold" w:hAnsi="Script MT Bold"/>
                <w:b/>
                <w:color w:val="FFFFFF"/>
                <w:sz w:val="32"/>
                <w:szCs w:val="32"/>
              </w:rPr>
              <w:t>3</w:t>
            </w:r>
            <w:r>
              <w:rPr>
                <w:rFonts w:ascii="Script MT Bold" w:hAnsi="Script MT Bold"/>
                <w:b/>
                <w:color w:val="FFFFFF"/>
                <w:sz w:val="32"/>
                <w:szCs w:val="32"/>
              </w:rPr>
              <w:t>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2757DC" w:rsidP="00AA6867">
            <w:pPr>
              <w:rPr>
                <w:rFonts w:ascii="Arial" w:hAnsi="Arial"/>
              </w:rPr>
            </w:pPr>
            <w:r>
              <w:rPr>
                <w:rFonts w:ascii="Arial" w:hAnsi="Arial"/>
              </w:rPr>
              <w:t>Depósito General – Patagonia 222 - 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AA6867" w:rsidRDefault="00AA6867" w:rsidP="00F622BF">
      <w:pPr>
        <w:rPr>
          <w:rFonts w:ascii="Arial" w:hAnsi="Arial"/>
          <w:sz w:val="16"/>
        </w:rPr>
      </w:pPr>
    </w:p>
    <w:p w:rsidR="002757DC" w:rsidRDefault="002757DC" w:rsidP="00F622BF">
      <w:pPr>
        <w:rPr>
          <w:rFonts w:ascii="Arial" w:hAnsi="Arial"/>
          <w:sz w:val="16"/>
        </w:rPr>
      </w:pPr>
    </w:p>
    <w:p w:rsidR="002757DC" w:rsidRDefault="002757DC" w:rsidP="00F622BF">
      <w:pPr>
        <w:rPr>
          <w:rFonts w:ascii="Arial" w:hAnsi="Arial"/>
          <w:sz w:val="16"/>
        </w:rPr>
      </w:pPr>
    </w:p>
    <w:p w:rsidR="00F622BF" w:rsidRDefault="00F622BF" w:rsidP="00F622BF">
      <w:pPr>
        <w:rPr>
          <w:rFonts w:ascii="Arial" w:hAnsi="Arial"/>
          <w:sz w:val="16"/>
        </w:rPr>
      </w:pPr>
    </w:p>
    <w:p w:rsidR="00AA6867" w:rsidRPr="004747AD" w:rsidRDefault="00AA6867" w:rsidP="00AA6867">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AA6867" w:rsidRPr="004747AD" w:rsidRDefault="00AA6867" w:rsidP="00AA6867">
      <w:pPr>
        <w:rPr>
          <w:rFonts w:ascii="Arial" w:hAnsi="Arial"/>
          <w:sz w:val="20"/>
          <w:szCs w:val="20"/>
        </w:rPr>
      </w:pPr>
      <w:r w:rsidRPr="004747AD">
        <w:rPr>
          <w:rFonts w:ascii="Arial" w:hAnsi="Arial"/>
          <w:sz w:val="20"/>
          <w:szCs w:val="20"/>
        </w:rPr>
        <w:t xml:space="preserve">                                                                                     Firma y Sello</w:t>
      </w:r>
    </w:p>
    <w:p w:rsidR="00F622BF" w:rsidRDefault="00F622BF" w:rsidP="00F622BF">
      <w:pPr>
        <w:rPr>
          <w:rFonts w:ascii="Arial" w:hAnsi="Arial"/>
          <w:sz w:val="16"/>
        </w:rPr>
      </w:pPr>
    </w:p>
    <w:p w:rsidR="00AA6867" w:rsidRDefault="00AA6867" w:rsidP="00F622BF">
      <w:pPr>
        <w:rPr>
          <w:rFonts w:ascii="Arial" w:hAnsi="Arial"/>
          <w:sz w:val="16"/>
        </w:rPr>
      </w:pPr>
    </w:p>
    <w:p w:rsidR="00354E00" w:rsidRDefault="00354E00" w:rsidP="00F622BF">
      <w:pPr>
        <w:jc w:val="both"/>
        <w:rPr>
          <w:sz w:val="8"/>
          <w:szCs w:val="8"/>
        </w:rPr>
      </w:pPr>
    </w:p>
    <w:p w:rsidR="00354E00" w:rsidRDefault="00354E00" w:rsidP="00F622BF">
      <w:pPr>
        <w:jc w:val="both"/>
        <w:rPr>
          <w:sz w:val="8"/>
          <w:szCs w:val="8"/>
        </w:rPr>
      </w:pPr>
    </w:p>
    <w:p w:rsidR="002137E7" w:rsidRDefault="002137E7" w:rsidP="00F622BF">
      <w:pPr>
        <w:jc w:val="both"/>
        <w:rPr>
          <w:sz w:val="8"/>
          <w:szCs w:val="8"/>
        </w:rPr>
      </w:pPr>
    </w:p>
    <w:p w:rsidR="002137E7" w:rsidRDefault="002137E7" w:rsidP="00F622BF">
      <w:pPr>
        <w:jc w:val="both"/>
        <w:rPr>
          <w:sz w:val="8"/>
          <w:szCs w:val="8"/>
        </w:rPr>
      </w:pPr>
    </w:p>
    <w:p w:rsidR="002137E7" w:rsidRDefault="002137E7" w:rsidP="00F622BF">
      <w:pPr>
        <w:jc w:val="both"/>
        <w:rPr>
          <w:sz w:val="8"/>
          <w:szCs w:val="8"/>
        </w:rPr>
      </w:pPr>
    </w:p>
    <w:p w:rsidR="00F622BF" w:rsidRDefault="00F622B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2137E7">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B84B16"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B84B16">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B84B16"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2757DC">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Pr>
                <w:b/>
                <w:i/>
                <w:sz w:val="26"/>
              </w:rPr>
              <w:t>1</w:t>
            </w:r>
            <w:r w:rsidR="00D0110F">
              <w:rPr>
                <w:b/>
                <w:i/>
                <w:sz w:val="26"/>
              </w:rPr>
              <w:t>9</w:t>
            </w:r>
            <w:r w:rsidR="002757DC">
              <w:rPr>
                <w:b/>
                <w:i/>
                <w:sz w:val="26"/>
              </w:rPr>
              <w:t>6</w:t>
            </w:r>
            <w:r w:rsidRPr="006E5236">
              <w:rPr>
                <w:b/>
                <w:i/>
                <w:sz w:val="26"/>
              </w:rPr>
              <w:t>/ 20</w:t>
            </w:r>
            <w:r>
              <w:rPr>
                <w:b/>
                <w:i/>
                <w:sz w:val="26"/>
              </w:rPr>
              <w:t>21</w:t>
            </w:r>
            <w:r>
              <w:rPr>
                <w:i/>
                <w:sz w:val="26"/>
              </w:rPr>
              <w:t xml:space="preserve"> , Expediente Nº</w:t>
            </w:r>
            <w:r w:rsidRPr="00904EDC">
              <w:rPr>
                <w:b/>
                <w:i/>
                <w:sz w:val="26"/>
              </w:rPr>
              <w:t xml:space="preserve"> </w:t>
            </w:r>
            <w:r w:rsidR="002757DC">
              <w:rPr>
                <w:b/>
                <w:i/>
                <w:sz w:val="26"/>
              </w:rPr>
              <w:t>36869</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B84B16" w:rsidP="00810998">
            <w:pPr>
              <w:rPr>
                <w:i/>
                <w:sz w:val="28"/>
              </w:rPr>
            </w:pPr>
            <w:r w:rsidRPr="00B84B16">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14FEA"/>
    <w:rsid w:val="0012466D"/>
    <w:rsid w:val="00145D7D"/>
    <w:rsid w:val="00155540"/>
    <w:rsid w:val="00175181"/>
    <w:rsid w:val="0017731D"/>
    <w:rsid w:val="001E30D5"/>
    <w:rsid w:val="001F7AC8"/>
    <w:rsid w:val="002064E1"/>
    <w:rsid w:val="002137E7"/>
    <w:rsid w:val="00221C0A"/>
    <w:rsid w:val="00222E83"/>
    <w:rsid w:val="00245A54"/>
    <w:rsid w:val="0026600E"/>
    <w:rsid w:val="002757DC"/>
    <w:rsid w:val="00292896"/>
    <w:rsid w:val="00292E2C"/>
    <w:rsid w:val="002A7090"/>
    <w:rsid w:val="002E1BF9"/>
    <w:rsid w:val="002E3EAE"/>
    <w:rsid w:val="002F475C"/>
    <w:rsid w:val="00311721"/>
    <w:rsid w:val="00314C18"/>
    <w:rsid w:val="00354E00"/>
    <w:rsid w:val="0036507B"/>
    <w:rsid w:val="00381942"/>
    <w:rsid w:val="003D07B0"/>
    <w:rsid w:val="003F647B"/>
    <w:rsid w:val="0045013B"/>
    <w:rsid w:val="00456A84"/>
    <w:rsid w:val="004854D4"/>
    <w:rsid w:val="00491B98"/>
    <w:rsid w:val="0049352D"/>
    <w:rsid w:val="00496672"/>
    <w:rsid w:val="004C5CC7"/>
    <w:rsid w:val="004D37B1"/>
    <w:rsid w:val="004D4737"/>
    <w:rsid w:val="0051766F"/>
    <w:rsid w:val="005324F9"/>
    <w:rsid w:val="00596C23"/>
    <w:rsid w:val="005A12C5"/>
    <w:rsid w:val="005B4375"/>
    <w:rsid w:val="005B54C9"/>
    <w:rsid w:val="005C47F1"/>
    <w:rsid w:val="005F6830"/>
    <w:rsid w:val="006150ED"/>
    <w:rsid w:val="00630254"/>
    <w:rsid w:val="00663FCF"/>
    <w:rsid w:val="00666290"/>
    <w:rsid w:val="006F7005"/>
    <w:rsid w:val="006F7B2C"/>
    <w:rsid w:val="00725448"/>
    <w:rsid w:val="00726C01"/>
    <w:rsid w:val="00740BE2"/>
    <w:rsid w:val="00760C7E"/>
    <w:rsid w:val="007A4504"/>
    <w:rsid w:val="007B77A8"/>
    <w:rsid w:val="007F79F8"/>
    <w:rsid w:val="0081534A"/>
    <w:rsid w:val="0087007D"/>
    <w:rsid w:val="00887188"/>
    <w:rsid w:val="008B7222"/>
    <w:rsid w:val="008D1A73"/>
    <w:rsid w:val="008F32A1"/>
    <w:rsid w:val="00926E70"/>
    <w:rsid w:val="00932C90"/>
    <w:rsid w:val="00943304"/>
    <w:rsid w:val="00966300"/>
    <w:rsid w:val="0098266B"/>
    <w:rsid w:val="009900AA"/>
    <w:rsid w:val="009A7EE5"/>
    <w:rsid w:val="009B4953"/>
    <w:rsid w:val="009B4FE4"/>
    <w:rsid w:val="00AA6867"/>
    <w:rsid w:val="00AD5325"/>
    <w:rsid w:val="00B74A76"/>
    <w:rsid w:val="00B84B16"/>
    <w:rsid w:val="00B856EB"/>
    <w:rsid w:val="00B867E6"/>
    <w:rsid w:val="00B95AF5"/>
    <w:rsid w:val="00B960AA"/>
    <w:rsid w:val="00BB6647"/>
    <w:rsid w:val="00BC638F"/>
    <w:rsid w:val="00C55EE0"/>
    <w:rsid w:val="00C60297"/>
    <w:rsid w:val="00CF6690"/>
    <w:rsid w:val="00D0110F"/>
    <w:rsid w:val="00D036E1"/>
    <w:rsid w:val="00D75002"/>
    <w:rsid w:val="00DA19FE"/>
    <w:rsid w:val="00DB7FEC"/>
    <w:rsid w:val="00DD1BF2"/>
    <w:rsid w:val="00DD354F"/>
    <w:rsid w:val="00DF4B05"/>
    <w:rsid w:val="00E20645"/>
    <w:rsid w:val="00E300FF"/>
    <w:rsid w:val="00E54D0E"/>
    <w:rsid w:val="00E568B2"/>
    <w:rsid w:val="00E70A84"/>
    <w:rsid w:val="00E818C4"/>
    <w:rsid w:val="00E8605C"/>
    <w:rsid w:val="00EC3B2B"/>
    <w:rsid w:val="00EF5F63"/>
    <w:rsid w:val="00F06639"/>
    <w:rsid w:val="00F15879"/>
    <w:rsid w:val="00F16451"/>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4</Pages>
  <Words>3004</Words>
  <Characters>16523</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8</cp:revision>
  <cp:lastPrinted>2021-10-22T13:53:00Z</cp:lastPrinted>
  <dcterms:created xsi:type="dcterms:W3CDTF">2021-10-13T11:29:00Z</dcterms:created>
  <dcterms:modified xsi:type="dcterms:W3CDTF">2021-10-22T14:29:00Z</dcterms:modified>
</cp:coreProperties>
</file>